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</w:t>
      </w:r>
      <w:r w:rsidR="00FB435F">
        <w:rPr>
          <w:rFonts w:ascii="Times New Roman" w:hAnsi="Times New Roman"/>
          <w:sz w:val="28"/>
          <w:szCs w:val="22"/>
          <w:lang w:eastAsia="en-US"/>
        </w:rPr>
        <w:t xml:space="preserve">енное бюджетное образовательное </w:t>
      </w:r>
      <w:r>
        <w:rPr>
          <w:rFonts w:ascii="Times New Roman" w:hAnsi="Times New Roman"/>
          <w:sz w:val="28"/>
          <w:szCs w:val="22"/>
          <w:lang w:eastAsia="en-US"/>
        </w:rPr>
        <w:t>учреждение</w:t>
      </w:r>
      <w:r w:rsidR="00FB435F">
        <w:rPr>
          <w:rFonts w:ascii="Times New Roman" w:hAnsi="Times New Roman"/>
          <w:sz w:val="28"/>
          <w:szCs w:val="22"/>
          <w:lang w:eastAsia="en-US"/>
        </w:rPr>
        <w:t xml:space="preserve"> </w:t>
      </w:r>
      <w:r>
        <w:rPr>
          <w:rFonts w:ascii="Times New Roman" w:hAnsi="Times New Roman"/>
          <w:sz w:val="28"/>
          <w:szCs w:val="22"/>
          <w:lang w:eastAsia="en-US"/>
        </w:rPr>
        <w:t>высшего образования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EA580B" w:rsidRDefault="00EA580B" w:rsidP="00EA580B">
      <w:pPr>
        <w:spacing w:before="5"/>
        <w:ind w:left="1058" w:right="112"/>
        <w:jc w:val="center"/>
        <w:rPr>
          <w:sz w:val="28"/>
        </w:rPr>
      </w:pPr>
    </w:p>
    <w:p w:rsidR="00EA580B" w:rsidRDefault="00EA580B" w:rsidP="00EA580B">
      <w:pPr>
        <w:spacing w:before="5"/>
        <w:ind w:left="1058" w:right="112"/>
        <w:jc w:val="center"/>
        <w:rPr>
          <w:sz w:val="28"/>
        </w:rPr>
      </w:pPr>
    </w:p>
    <w:p w:rsidR="00B40614" w:rsidRDefault="00B40614" w:rsidP="00EA580B">
      <w:pPr>
        <w:spacing w:before="5"/>
        <w:ind w:left="1058" w:right="112"/>
        <w:jc w:val="center"/>
        <w:rPr>
          <w:sz w:val="28"/>
        </w:rPr>
      </w:pPr>
    </w:p>
    <w:p w:rsidR="00EA580B" w:rsidRDefault="00B40614" w:rsidP="007F38AB">
      <w:pPr>
        <w:spacing w:before="5"/>
        <w:ind w:left="1058" w:right="112"/>
        <w:jc w:val="right"/>
        <w:rPr>
          <w:sz w:val="28"/>
        </w:rPr>
      </w:pPr>
      <w:r w:rsidRPr="00B40614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80B" w:rsidRDefault="00EA580B" w:rsidP="00EA580B">
      <w:pPr>
        <w:spacing w:before="5"/>
        <w:ind w:left="1058" w:right="112"/>
        <w:jc w:val="right"/>
        <w:rPr>
          <w:noProof/>
          <w:sz w:val="28"/>
        </w:rPr>
      </w:pPr>
    </w:p>
    <w:p w:rsidR="00EA580B" w:rsidRDefault="00EA580B" w:rsidP="00EA580B">
      <w:pPr>
        <w:spacing w:before="5"/>
        <w:ind w:left="1058" w:right="112"/>
        <w:jc w:val="right"/>
        <w:rPr>
          <w:noProof/>
          <w:sz w:val="28"/>
        </w:rPr>
      </w:pP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EA580B" w:rsidRPr="00EA580B" w:rsidRDefault="00E5027E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 xml:space="preserve">«ОП.5 </w:t>
      </w:r>
      <w:r w:rsidR="00EA580B" w:rsidRPr="00EA580B">
        <w:rPr>
          <w:rFonts w:ascii="Times New Roman" w:hAnsi="Times New Roman"/>
          <w:sz w:val="28"/>
          <w:szCs w:val="22"/>
          <w:lang w:eastAsia="en-US"/>
        </w:rPr>
        <w:t>ОСНОВЫ МИКРОБИОЛОГИИ И ИММУНОЛОГИИ»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EA580B" w:rsidRDefault="00EA580B" w:rsidP="00EA580B">
      <w:pPr>
        <w:pStyle w:val="a5"/>
        <w:rPr>
          <w:sz w:val="30"/>
        </w:rPr>
      </w:pP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EA580B" w:rsidRDefault="00EA580B" w:rsidP="00EA580B">
      <w:pPr>
        <w:pStyle w:val="a5"/>
        <w:rPr>
          <w:b/>
          <w:sz w:val="30"/>
        </w:rPr>
      </w:pP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EA580B" w:rsidRDefault="00EA580B" w:rsidP="00EA580B">
      <w:pPr>
        <w:pStyle w:val="a5"/>
        <w:spacing w:before="2"/>
      </w:pPr>
    </w:p>
    <w:p w:rsidR="00EA580B" w:rsidRDefault="00EA580B" w:rsidP="00EA580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Год набора </w:t>
      </w:r>
      <w:r w:rsidR="00B40614">
        <w:rPr>
          <w:rFonts w:ascii="Times New Roman" w:hAnsi="Times New Roman"/>
          <w:b/>
          <w:sz w:val="28"/>
          <w:szCs w:val="28"/>
          <w:lang w:eastAsia="en-US"/>
        </w:rPr>
        <w:t>2024</w:t>
      </w:r>
    </w:p>
    <w:p w:rsidR="00EA580B" w:rsidRDefault="00EA580B" w:rsidP="00EA580B">
      <w:pPr>
        <w:pStyle w:val="a5"/>
        <w:rPr>
          <w:b/>
          <w:sz w:val="30"/>
        </w:rPr>
      </w:pPr>
    </w:p>
    <w:p w:rsidR="00EA580B" w:rsidRDefault="00EA580B" w:rsidP="00EA580B">
      <w:pPr>
        <w:pStyle w:val="1"/>
        <w:rPr>
          <w:rFonts w:ascii="Times New Roman" w:hAnsi="Times New Roman"/>
          <w:b/>
          <w:sz w:val="30"/>
        </w:rPr>
      </w:pPr>
    </w:p>
    <w:p w:rsidR="00EA580B" w:rsidRDefault="00EA580B" w:rsidP="00EA580B">
      <w:pPr>
        <w:pStyle w:val="1"/>
        <w:rPr>
          <w:rFonts w:ascii="Times New Roman" w:hAnsi="Times New Roman"/>
          <w:b/>
          <w:sz w:val="30"/>
        </w:rPr>
      </w:pPr>
    </w:p>
    <w:p w:rsidR="008105EA" w:rsidRDefault="00EA580B" w:rsidP="00FC490C">
      <w:pPr>
        <w:pStyle w:val="1"/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sz w:val="30"/>
        </w:rPr>
        <w:t xml:space="preserve">       Тамбов, 202</w:t>
      </w:r>
      <w:r w:rsidR="00B40614">
        <w:rPr>
          <w:rFonts w:ascii="Times New Roman" w:hAnsi="Times New Roman"/>
          <w:b/>
          <w:sz w:val="30"/>
        </w:rPr>
        <w:t>4</w:t>
      </w:r>
    </w:p>
    <w:p w:rsidR="008105EA" w:rsidRPr="009233A9" w:rsidRDefault="00406405" w:rsidP="008105EA">
      <w:pPr>
        <w:pStyle w:val="1"/>
        <w:rPr>
          <w:rFonts w:ascii="Times New Roman" w:hAnsi="Times New Roman"/>
          <w:highlight w:val="yellow"/>
        </w:rPr>
      </w:pPr>
      <w:r w:rsidRPr="00406405"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6000087" cy="2220874"/>
            <wp:effectExtent l="19050" t="0" r="66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427" cy="222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90C" w:rsidRDefault="00CA1513" w:rsidP="00FD0B77">
      <w:pPr>
        <w:pStyle w:val="1"/>
        <w:ind w:left="-142"/>
        <w:jc w:val="center"/>
        <w:rPr>
          <w:rFonts w:ascii="Times New Roman" w:hAnsi="Times New Roman"/>
          <w:b/>
          <w:i/>
          <w:vertAlign w:val="superscript"/>
        </w:rPr>
      </w:pPr>
      <w:r w:rsidRPr="00CA1513">
        <w:rPr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490C">
        <w:br w:type="page"/>
      </w:r>
    </w:p>
    <w:p w:rsidR="00FC490C" w:rsidRDefault="00FC490C" w:rsidP="00FC490C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FC490C" w:rsidRDefault="00FC490C" w:rsidP="00FC490C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FC490C" w:rsidTr="00E2316E">
        <w:tc>
          <w:tcPr>
            <w:tcW w:w="7500" w:type="dxa"/>
          </w:tcPr>
          <w:p w:rsidR="00FC490C" w:rsidRDefault="00FC490C" w:rsidP="00FC490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FC490C" w:rsidRDefault="00FC490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FC490C" w:rsidTr="00E2316E">
        <w:tc>
          <w:tcPr>
            <w:tcW w:w="7500" w:type="dxa"/>
          </w:tcPr>
          <w:p w:rsidR="00FC490C" w:rsidRDefault="00FC490C" w:rsidP="00FC490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FC490C" w:rsidRDefault="00FC490C" w:rsidP="00FC490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FC490C" w:rsidRDefault="00FC490C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FC490C" w:rsidTr="00E2316E">
        <w:tc>
          <w:tcPr>
            <w:tcW w:w="7500" w:type="dxa"/>
          </w:tcPr>
          <w:p w:rsidR="00FC490C" w:rsidRDefault="00FC490C" w:rsidP="00FC490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FC490C" w:rsidRDefault="00FC490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FC490C" w:rsidRDefault="00FC490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FC490C" w:rsidRDefault="00FC490C" w:rsidP="00FC490C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«ОСНОВЫ МИКРОБИОЛОГИИ ИММУНОЛОГИИ»</w:t>
      </w:r>
    </w:p>
    <w:p w:rsidR="00FC490C" w:rsidRDefault="00FC490C" w:rsidP="00FC49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FC490C" w:rsidRDefault="00FC490C" w:rsidP="00FC490C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микробиологии иммунологии» является обязательной частью общепрофессионального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FC490C" w:rsidRDefault="00FC490C" w:rsidP="00FC490C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Особое значение дисциплина имеет при формировании и развитии ОК 01, ОК 02, ОК 03, ОК 07. 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34" w:type="dxa"/>
        <w:tblLayout w:type="fixed"/>
        <w:tblLook w:val="04A0"/>
      </w:tblPr>
      <w:tblGrid>
        <w:gridCol w:w="1588"/>
        <w:gridCol w:w="3764"/>
        <w:gridCol w:w="4282"/>
      </w:tblGrid>
      <w:tr w:rsidR="00FC490C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4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FC490C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9, ЛР 10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keepLine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забор, транспортировку и хранение материала для микробиологических исследований;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дифференцировать разные группы микроорганизмов по их основным свойствам;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роль микроорганизмов в жизни человека и общества;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морфологию, физиологию и экологию микроорганизмов, методы их изучения;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эпидемиологии инфекционных болезней, пути заражения, локализацию микроорганизмов в организме человека;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человека. </w:t>
            </w:r>
          </w:p>
        </w:tc>
      </w:tr>
    </w:tbl>
    <w:p w:rsidR="00FC490C" w:rsidRDefault="00FC490C" w:rsidP="00FC490C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FC490C" w:rsidRDefault="00FC490C" w:rsidP="00FC490C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FC490C" w:rsidRDefault="00FC490C" w:rsidP="00FC490C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FC490C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C490C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EE4976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185</w:t>
            </w:r>
          </w:p>
        </w:tc>
      </w:tr>
      <w:tr w:rsidR="00FC490C" w:rsidTr="00E2316E">
        <w:trPr>
          <w:trHeight w:val="336"/>
        </w:trPr>
        <w:tc>
          <w:tcPr>
            <w:tcW w:w="9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FC490C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EE497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78</w:t>
            </w:r>
          </w:p>
        </w:tc>
      </w:tr>
      <w:tr w:rsidR="00FC490C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A808B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</w:t>
            </w:r>
            <w:r w:rsidR="00EE4976">
              <w:rPr>
                <w:rFonts w:ascii="Times New Roman" w:hAnsi="Times New Roman"/>
                <w:iCs/>
              </w:rPr>
              <w:t>8</w:t>
            </w:r>
          </w:p>
        </w:tc>
      </w:tr>
      <w:tr w:rsidR="00FC490C" w:rsidTr="00E2316E">
        <w:trPr>
          <w:trHeight w:val="267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A808B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</w:tr>
      <w:tr w:rsidR="00FC490C" w:rsidTr="00E2316E">
        <w:trPr>
          <w:trHeight w:val="331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FC490C" w:rsidP="00EE4976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EE4976">
              <w:rPr>
                <w:rFonts w:ascii="Times New Roman" w:hAnsi="Times New Roman"/>
                <w:iCs/>
              </w:rPr>
              <w:t>экзамен</w:t>
            </w:r>
            <w:r>
              <w:rPr>
                <w:rFonts w:ascii="Times New Roman" w:hAnsi="Times New Roman"/>
                <w:iCs/>
              </w:rPr>
              <w:t>)</w:t>
            </w:r>
            <w:r w:rsidR="00EE4976">
              <w:rPr>
                <w:rFonts w:ascii="Times New Roman" w:hAnsi="Times New Roman"/>
                <w:iCs/>
              </w:rPr>
              <w:t xml:space="preserve"> в 6 семестре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90C" w:rsidRDefault="00EE497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</w:t>
            </w:r>
          </w:p>
        </w:tc>
      </w:tr>
    </w:tbl>
    <w:p w:rsidR="00FC490C" w:rsidRDefault="00FC490C" w:rsidP="00FC490C">
      <w:pPr>
        <w:sectPr w:rsidR="00FC490C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FC490C" w:rsidRDefault="00FC490C" w:rsidP="00FC490C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662"/>
        <w:gridCol w:w="7150"/>
        <w:gridCol w:w="2203"/>
        <w:gridCol w:w="2771"/>
      </w:tblGrid>
      <w:tr w:rsidR="00FC490C" w:rsidTr="00E2316E">
        <w:trPr>
          <w:trHeight w:val="2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D0F" w:rsidRPr="00EE4976" w:rsidRDefault="00492D0F" w:rsidP="00492D0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E4976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FC490C" w:rsidRPr="00EE4976" w:rsidRDefault="00492D0F" w:rsidP="00492D0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E4976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Pr="00EE4976" w:rsidRDefault="00492D0F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Общая микробиология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Предмет и задачи медицинской микробиологии и иммунологии. Организация микробиологической службы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1.История развития микробиологии и иммунологии.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2.Роль микроорганизмов в жизни человека и общества.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3.Научные и практические достижения медицинской микробиологии и иммунологии.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4.Принципы классификации микроорганизмов на бактерии, грибы, простейшие, вирусы.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5.Основные таксономические категории (род, вид, чистая культура, штамм, клон, разновидность).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6.Классификация микроорганизмов по степени их биологической опасности.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7.Номенклатура микробиологических лабораторий, их структура и оснащение базовой лаборатории.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E4976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Микробиологическая лаборатория, устройство, оснащение, правила работы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1.2.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Экология микроорганизмов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1.Микробиоценоз почвы, воды, воздуха.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2.Роль почвы, воды, воздуха, пищевых продуктов в распространении возбудителей инфекционных заболеваний.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мочеполовой системы.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4.Роль нормальной микрофлоры для жизнедеятельности и здоровья человека.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5.Дисбактериоз, причины, симптомы, корреляция.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2. Бактериология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Морфология бактерий и методы ее изучения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1.Прокариоты и эукариоты.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2.Классификация бактерий. Принципы подразделения бактерий на группы.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3.Общие принципы организации микробной клетки и других инфекционных агентов.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4.Формы бактерий: кокковидная, палочковидная, извитая, ветвящаяся.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5.Структура бактериальной клетки: основные и дополнительные структуры, их химический состав и назначение.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2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морфологии бактерий. Микроскопические методы изучения бактерий: виды микроскопов, методы окраски. Дифференциация бактерий по морфологическим и тинкториальным свойствам. Правила техники безопасности при проведении микроскопических исследований.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2.2.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Физиология бактерий, методы ее изучения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1.Химический состав бактериальной клетки.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2.Ферменты бактерий.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3.Питание, рост и размножение бактерий.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 Микробиологические методы исследования.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5.Правила взятия, сроки, температурные и другие условия транспортировки материала для микробиологического исследования. Меры предосторожности.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Культивирование бактерий, изучение культуральных свойств. Питательные среды, их назначение и применение. Условия культивирования бактерий. Термостат, правила эксплуатации.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Выделение чистой культуры бактерий. Культуральные и 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3. Вирусология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Классификация и структура вирусов. Методы изучения вирусов.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1.Особенности классификации вирусов.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2.Структура вирусов.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3.Особенности физиологии вирусов как облигатных клеточных паразитов.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4.методы культивирования и индикации вирусов.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5.Устойчивость вирусов к факторам окружающей среды.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6.Репродукция вирусов: продуктивный тип репродукции и его стадии, понятие об абортивном и интегративном типах.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7.Генетика вирусов и ее значение для современной медицины.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8.Бактериофаги, их свойства и применение в диагностике, профилактике и лечении инфекционных болезней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Раздел 4.Учение об иммунитете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4.1.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Иммунитет, его значение для человека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1.Понятие об иммунитете, его значение для человека и общества.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2.Виды иммунитета.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3.Иммунная система человека.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4.Неспецифические и специфические факторы защиты, их взаимосвязь. Основные формы иммунного реагирования.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5.Серологические исследования: реакции агглютинации, преципитации, лизиса, связывания комплемента и др., их механизмы и применение.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6.Молекулярно-биологические методы диагностики: полимеразная цепная реакция, механизм и применение.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4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Постановка простейших серологических реакций и их учет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4.2.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Патология иммунной системы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1.Иммунопатологические процессы. Общая характеристика. Типовые формы иммунопатологических процессов. Иммунологическая толерантность. 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Аллергические реакции. Определение понятий: аллергия, аллерген, сенсибилизация. Виды, стадии развития аллергических реакций. 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Характеристика отдельных видов аллергических реакций. Анафилактический шок. Сывороточная болезнь. Механизмы развития, структурно-функциональные характеристики, значение. 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Аутоиммунизация и аутоиммунные болезни. Определение, </w:t>
            </w:r>
            <w:r>
              <w:rPr>
                <w:rFonts w:ascii="Times New Roman" w:hAnsi="Times New Roman"/>
              </w:rPr>
              <w:lastRenderedPageBreak/>
              <w:t xml:space="preserve">механизмы развития, клиническое значение. 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5. Иммунный дефицит: понятие, этиология, классификация. Синдром приобретенного иммунодефицита (СПИД). Общая характеристика, значение для организма.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5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Аллергодиагностика инфекционных заболеваний. Кожно-аллергические пробы, их учет.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4.3.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Иммунотерапия и иммунопрофилактика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1.Медицинские иммунобиологические препараты: вакцины, сыворотки, иммуноглобулины.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2.Иммуномодуляторы, эубиотики, бактериофаги, диагностические препараты, их состав, свойства, назначение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6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Изучение препаратов, применяемых для иммунопрофилактики и иммунотерапии.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5. Паразитология и протозоология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5.1.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Общая характеристика простейших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1.Общая характеристика и классификация простейших: саркодовые (дизентерийная амеба), жгутиковые (лямблия, трихомонада, трипаносома), споровиков (малярийный плазмодий, токсоплазма) и инфузорий (кишечный балантидий). Особенности их морфологии и жизнедеятельности.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2.Источники инвазий, путь заражения, жизненный цикл паразита.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3.Устойчивость простейших к факторам окружающей среды.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Методы микробиологической диагностики протозоозов: микроскопическое, культуральное, серологическое, аллергологическое и биологическое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Тема 5.2.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Медицинская гельминтология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1.Общая характеристика и классификация гельминтов.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2.Особенности морфологии и жизнедеятельности гельминтов.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3.Источники инвазии, пути распространения и заражения гельминтами.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4.Устойчивость гельминтов к факторам окружающей среды.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5.Методы обнаружения гельминтов в биологическом материале (кал, моча), яиц и личинок в объектах окружающей среды (почва, вода) и промежуточных хозяевах.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6.Профилактика гельминтозов.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07</w:t>
            </w:r>
          </w:p>
          <w:p w:rsidR="00FC490C" w:rsidRDefault="00FC490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3.4., ПК 3.5., ПК 4.2.,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9, ЛР 10</w:t>
            </w: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8</w:t>
            </w:r>
          </w:p>
          <w:p w:rsidR="00FC490C" w:rsidRDefault="00FC490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микробиологической диагностики гельминтозов: макро- и микроскопическое исследование, серологическое исследование (реакция связывания комплемента, непрямой гемагглютинации, прямой гемагглютинации, иммунофлюоресценции, иммуноферментный анализ). Аллергическое исследование (кожные пробы)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6.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Итоговое занятие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E4976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Промежуточная аттестация (</w:t>
            </w:r>
            <w:r w:rsidR="00EE4976">
              <w:rPr>
                <w:rFonts w:ascii="Times New Roman" w:hAnsi="Times New Roman"/>
                <w:b/>
                <w:bCs/>
                <w:iCs/>
              </w:rPr>
              <w:t>экзамен</w:t>
            </w:r>
            <w:r>
              <w:rPr>
                <w:rFonts w:ascii="Times New Roman" w:hAnsi="Times New Roman"/>
                <w:b/>
                <w:bCs/>
                <w:iCs/>
              </w:rPr>
              <w:t>)</w:t>
            </w:r>
            <w:r w:rsidR="00492D0F">
              <w:rPr>
                <w:rFonts w:ascii="Times New Roman" w:hAnsi="Times New Roman"/>
                <w:b/>
                <w:bCs/>
                <w:iCs/>
              </w:rPr>
              <w:t xml:space="preserve"> в 6 семестре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C490C" w:rsidTr="00E2316E">
        <w:trPr>
          <w:trHeight w:val="20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C" w:rsidRPr="00EE4976" w:rsidRDefault="00492D0F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185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FC490C" w:rsidRDefault="00FC490C" w:rsidP="00FC490C">
      <w:pPr>
        <w:sectPr w:rsidR="00FC490C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FC490C" w:rsidRDefault="00FC490C" w:rsidP="00FC490C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«основ микробиологии и иммунологии»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 (муляжи колоний бактерий, грибов на чашках Петри, плакаты, слайды, фотографии)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Микроскопы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Микропрепараты бактерий, грибов, простейших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Лабораторная посуда для забора материала на исследование;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  <w:lang w:eastAsia="en-US"/>
        </w:rPr>
      </w:pP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3.2.1. Основные печатные издания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 Долгих, В. Т.  Основы иммунологии : учебное пособие для среднего профессионального образования / В. Т. Долгих, А. Н. Золотов. — Москва : Издательство Юрайт, 2020. — 248 с. — (Профессиональное образование). — ISBN 978-5-534-10473-8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Емцев В.Т. Микробиология: учебник для СПО/ В.Т. Емцев, Е.Н. Мишустин. 8-е изд., испр. и доп. – Москва: Издательство Юрайт, 2020. - 468 с. – (Профессиональное образование).-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</w:rPr>
        <w:t>978-5-534-09738-2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 Камышева, К.С. Основы микробиологии и иммунологии : учеб. пособие / К. С. Камышева. - Изд. 3-е. - Ростов-на-Дону : Феникс, 2022.- 382 с. – (Среднее медицинское образование). – ISBN 978-5-222-30285-9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4. Леонова, И. Б.  Основы микробиологии : учебник и практикум для среднего профессионального образования / И. Б. Леонова. — Москва : Издательство Юрайт, 2020. — 298 с. — (Профессиональное образование). — ISBN 978-5-534-05352-4.</w:t>
      </w:r>
    </w:p>
    <w:p w:rsidR="00FC490C" w:rsidRDefault="00FC490C" w:rsidP="00FC490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  <w:color w:val="222222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Основы микробиологии и иммунологии : учебник / [М. Н. Бойченко, Е. В. Буданова, А. С. Быков и др.] ; под редакцией В. В. Зверева, Е. В. Будановой. - Москва : Академия, 2020. – 320 с. : ил.; 22 см. - (Профессиональное образование).; ISBN 978-5-4468-3981-0</w:t>
      </w:r>
      <w:r>
        <w:rPr>
          <w:rFonts w:ascii="Times New Roman" w:hAnsi="Times New Roman"/>
        </w:rPr>
        <w:t>.</w:t>
      </w:r>
    </w:p>
    <w:p w:rsidR="00FC490C" w:rsidRDefault="00FC490C" w:rsidP="00FC490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6. Основы микробиологии, вирусологии и иммунологии. (СПО). Учебник : учебник </w:t>
      </w:r>
      <w:r>
        <w:rPr>
          <w:rFonts w:ascii="Times New Roman" w:hAnsi="Times New Roman"/>
          <w:color w:val="000000"/>
        </w:rPr>
        <w:lastRenderedPageBreak/>
        <w:t>/ В.Б. Сбойчаков, А.В. Москалев, М.М. Карапац, Л.И. Клецко. — Москва : КноРус, 2021 — 274 с. — ISBN 978-5-406-06914-1</w:t>
      </w:r>
    </w:p>
    <w:p w:rsidR="00FC490C" w:rsidRDefault="00FC490C" w:rsidP="00FC490C">
      <w:pPr>
        <w:pStyle w:val="1"/>
        <w:spacing w:after="0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 Шапиро Я. С. Микробиология : учебное пособие для спо / Я. С. Шапиро. — 5-е изд., стер. — Санкт-Петербург : Лань, 2022. — 308 с. — ISBN 978-5-8114-9457-6. 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</w:p>
    <w:p w:rsidR="00FC490C" w:rsidRDefault="00FC490C" w:rsidP="00FC490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3.2.2. Основные электронные издания </w:t>
      </w:r>
    </w:p>
    <w:p w:rsidR="00FC490C" w:rsidRDefault="00FC490C" w:rsidP="00FC490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1. Зверев, В. В. Основы микробиологии и иммунологии : учебник / под ред. В. В. Зверева, М. Н. Бойченко. - Москва : ГЭОТАР-Медиа, 2021. - 368 с. - ISBN 978-5-9704-6199-0. - Текст : электронный // ЭБС "Консультант студента" : [сайт]. - URL : https://www.studentlibrary.ru/book/ISBN9785970461990.html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Зверева, В. В. Медицинская микробиология, вирусология и иммунология : Т. 1 : учебник / ред. Зверева В. В. , Бойченко М. Н. - Москва : ГЭОТАР-Медиа, 2020. - 448 с. - ISBN 978-5-9704-5835-8. - Текст : электронный // ЭБС "Консультант студента" : [сайт]. - URL : https://www.studentlibrary.ru/book/ISBN9785970458358.html</w:t>
      </w:r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Зверева, В. В. Медицинская микробиология, вирусология и иммунология : Т. 2 : учебник / под ред. Зверева В. В. , Бойченко М. Н. - Москва : ГЭОТАР-Медиа, 2021. - 472 с. - ISBN 978-5-9704-5836-5. - Текст : электронный // ЭБС "Консультант студента" : [сайт]. - URL : </w:t>
      </w:r>
      <w:hyperlink r:id="rId14">
        <w:r>
          <w:rPr>
            <w:rFonts w:ascii="Times New Roman" w:hAnsi="Times New Roman"/>
          </w:rPr>
          <w:t>https://www.studentlibrary.ru/book/ISBN9785970458365.html</w:t>
        </w:r>
      </w:hyperlink>
    </w:p>
    <w:p w:rsidR="00FC490C" w:rsidRDefault="00FC490C" w:rsidP="00FC490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Шапиро Я. С. Микробиология : учебное пособие для спо / Я. С. Шапиро. — 5-е изд., стер. — Санкт-Петербург : Лань, 2022. — 308 с. — ISBN 978-5-8114-9457-6. — Текст : электронный // Лань : электронно-библиотечная система. — URL: </w:t>
      </w:r>
      <w:hyperlink r:id="rId15">
        <w:r>
          <w:rPr>
            <w:rFonts w:ascii="Times New Roman" w:hAnsi="Times New Roman"/>
          </w:rPr>
          <w:t>https://e.lanbook.com/book/195466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3.2.3. Дополнительные источники 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 ГОСТ Р 52905-2007 (ИСО 15190:2003);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лабораториях;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 Методические указания МУ 4.2.2039-05 "Техника сбора и транспортирования биоматериалов в микробиологические лаборатории".</w:t>
      </w:r>
    </w:p>
    <w:p w:rsidR="00FC490C" w:rsidRDefault="00FC490C" w:rsidP="00FC490C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 Методические указания МУК 4.2.3145-13 «Лабораторная диагностика гельминтозов и протоозов»;</w:t>
      </w:r>
    </w:p>
    <w:p w:rsidR="00FC490C" w:rsidRDefault="00FC490C" w:rsidP="00FC490C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Научно-исследовательский институт эпидемиологии и микробиологии им. Н.Ф. Гамалеи РАМН 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16">
        <w:r>
          <w:rPr>
            <w:rFonts w:ascii="Times New Roman" w:hAnsi="Times New Roman"/>
          </w:rPr>
          <w:t>http://www.gamaleya.ru/</w:t>
        </w:r>
      </w:hyperlink>
    </w:p>
    <w:p w:rsidR="00FC490C" w:rsidRDefault="00FC490C" w:rsidP="00FC490C">
      <w:pPr>
        <w:pStyle w:val="1"/>
        <w:spacing w:after="0"/>
        <w:ind w:firstLine="709"/>
        <w:contextualSpacing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5. Словарь по микробиологии [Электронный ресурс]. </w:t>
      </w:r>
      <w:r>
        <w:rPr>
          <w:rFonts w:ascii="Times New Roman" w:hAnsi="Times New Roman"/>
          <w:lang w:val="en-US"/>
        </w:rPr>
        <w:t xml:space="preserve">URL: </w:t>
      </w:r>
      <w:hyperlink r:id="rId17">
        <w:r>
          <w:rPr>
            <w:rFonts w:ascii="Times New Roman" w:hAnsi="Times New Roman"/>
            <w:lang w:val="en-US"/>
          </w:rPr>
          <w:t>http://en.edu.ru:8100/db/msg/2351</w:t>
        </w:r>
      </w:hyperlink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  <w:lang w:val="en-US"/>
        </w:rPr>
      </w:pPr>
    </w:p>
    <w:p w:rsidR="00FC490C" w:rsidRDefault="00FC490C" w:rsidP="00FC490C">
      <w:pPr>
        <w:pStyle w:val="1"/>
        <w:spacing w:after="0" w:line="240" w:lineRule="auto"/>
        <w:rPr>
          <w:rFonts w:ascii="Times New Roman" w:hAnsi="Times New Roman"/>
          <w:b/>
          <w:lang w:val="en-US"/>
        </w:rPr>
      </w:pPr>
      <w:r w:rsidRPr="00AC4EBF">
        <w:rPr>
          <w:lang w:val="en-US"/>
        </w:rPr>
        <w:br w:type="page"/>
      </w:r>
    </w:p>
    <w:p w:rsidR="00FC490C" w:rsidRDefault="00FC490C" w:rsidP="00FC490C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tbl>
      <w:tblPr>
        <w:tblW w:w="5000" w:type="pct"/>
        <w:tblLayout w:type="fixed"/>
        <w:tblLook w:val="01E0"/>
      </w:tblPr>
      <w:tblGrid>
        <w:gridCol w:w="3657"/>
        <w:gridCol w:w="3097"/>
        <w:gridCol w:w="2810"/>
      </w:tblGrid>
      <w:tr w:rsidR="00FC490C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FC490C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роль микроорганизмов в жизни человека и общества;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морфологию, физиологию и экологию микроорганизмов, методы их изучения;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эпидемиологии инфекционных болезней, пути заражения, локализацию микроорганизмов в организме человека;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 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способность определить принадлежность микроорганизмов к бактериям, грибам, простейшим по рисункам, фотографиям, муляжам, морфологии и культуральным свойствам с учетом изученного учебного материала;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владение специальной терминологией, используемой в микробиологии; 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последовательное изложение программного материала по эпидемиологии инфекционных заболеваний согласно законам распространения инфекции в восприимчивом коллективе;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свободное владение знаниями факторов иммунитета, принципами иммунопрофилактики и иммунотерапии в соответствии с нормативными документами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Тестирование, индивидуальный и групповой опрос, решение ситуационных задач,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дифференцированный зачет</w:t>
            </w:r>
          </w:p>
        </w:tc>
      </w:tr>
      <w:tr w:rsidR="00FC490C" w:rsidTr="00E2316E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FC490C" w:rsidRDefault="00FC490C" w:rsidP="00E2316E">
            <w:pPr>
              <w:pStyle w:val="1"/>
              <w:keepLine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забор, транспортировку и хранение материала для микробиологических исследований;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дифференцировать разные группы микроорганизмов по их </w:t>
            </w:r>
            <w:r>
              <w:rPr>
                <w:rFonts w:ascii="Times New Roman" w:hAnsi="Times New Roman"/>
              </w:rPr>
              <w:lastRenderedPageBreak/>
              <w:t>основным свойствам.</w:t>
            </w: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  <w:p w:rsidR="00FC490C" w:rsidRDefault="00FC490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-осуществление забора, транспортировки и хранения материала для микробиологических исследований в соответствии с санитарными правилами и методическими </w:t>
            </w:r>
            <w:r>
              <w:rPr>
                <w:rFonts w:ascii="Times New Roman" w:hAnsi="Times New Roman"/>
              </w:rPr>
              <w:lastRenderedPageBreak/>
              <w:t>указаниями, требованиями безопасности;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способность отличать разные группы микроорганизмов по их основным свойствам на основании научных данных.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Экспертная оценка выполнения практических заданий</w:t>
            </w:r>
          </w:p>
          <w:p w:rsidR="00FC490C" w:rsidRDefault="00FC490C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14A" w:rsidRDefault="00F6314A" w:rsidP="00FC490C">
      <w:r>
        <w:separator/>
      </w:r>
    </w:p>
  </w:endnote>
  <w:endnote w:type="continuationSeparator" w:id="1">
    <w:p w:rsidR="00F6314A" w:rsidRDefault="00F6314A" w:rsidP="00FC4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0C" w:rsidRDefault="00FC490C">
    <w:pPr>
      <w:pStyle w:val="Footer"/>
      <w:jc w:val="right"/>
    </w:pPr>
  </w:p>
  <w:p w:rsidR="00FC490C" w:rsidRDefault="00FC490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0C" w:rsidRDefault="00FC490C">
    <w:pPr>
      <w:pStyle w:val="Footer"/>
      <w:jc w:val="right"/>
    </w:pPr>
  </w:p>
  <w:p w:rsidR="00FC490C" w:rsidRDefault="00FC490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14A" w:rsidRDefault="00F6314A" w:rsidP="00FC490C">
      <w:r>
        <w:separator/>
      </w:r>
    </w:p>
  </w:footnote>
  <w:footnote w:type="continuationSeparator" w:id="1">
    <w:p w:rsidR="00F6314A" w:rsidRDefault="00F6314A" w:rsidP="00FC490C">
      <w:r>
        <w:continuationSeparator/>
      </w:r>
    </w:p>
  </w:footnote>
  <w:footnote w:id="2">
    <w:p w:rsidR="00FC490C" w:rsidRDefault="00FC490C" w:rsidP="00FC490C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FC490C" w:rsidRDefault="00FC490C" w:rsidP="00FC490C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FC490C" w:rsidRDefault="00FC490C" w:rsidP="00FC490C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1361929"/>
      <w:docPartObj>
        <w:docPartGallery w:val="Page Numbers (Top of Page)"/>
        <w:docPartUnique/>
      </w:docPartObj>
    </w:sdtPr>
    <w:sdtContent>
      <w:p w:rsidR="00FC490C" w:rsidRDefault="005B1C73">
        <w:pPr>
          <w:pStyle w:val="Header"/>
          <w:jc w:val="center"/>
        </w:pPr>
        <w:fldSimple w:instr="PAGE">
          <w:r w:rsidR="00A808B6">
            <w:rPr>
              <w:noProof/>
            </w:rPr>
            <w:t>4</w:t>
          </w:r>
        </w:fldSimple>
      </w:p>
      <w:p w:rsidR="00FC490C" w:rsidRDefault="005B1C73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133996"/>
      <w:docPartObj>
        <w:docPartGallery w:val="Page Numbers (Top of Page)"/>
        <w:docPartUnique/>
      </w:docPartObj>
    </w:sdtPr>
    <w:sdtContent>
      <w:p w:rsidR="00FC490C" w:rsidRDefault="005B1C73">
        <w:pPr>
          <w:pStyle w:val="Header"/>
          <w:jc w:val="center"/>
        </w:pPr>
        <w:fldSimple w:instr="PAGE">
          <w:r w:rsidR="00A808B6">
            <w:rPr>
              <w:noProof/>
            </w:rPr>
            <w:t>5</w:t>
          </w:r>
        </w:fldSimple>
      </w:p>
      <w:p w:rsidR="00FC490C" w:rsidRDefault="005B1C73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D44"/>
    <w:multiLevelType w:val="multilevel"/>
    <w:tmpl w:val="CA1A04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490C"/>
    <w:rsid w:val="000C5164"/>
    <w:rsid w:val="001C7F93"/>
    <w:rsid w:val="00236554"/>
    <w:rsid w:val="00244EBB"/>
    <w:rsid w:val="00251932"/>
    <w:rsid w:val="002E233E"/>
    <w:rsid w:val="002F54C2"/>
    <w:rsid w:val="003469E5"/>
    <w:rsid w:val="003A0949"/>
    <w:rsid w:val="003C169D"/>
    <w:rsid w:val="003F0426"/>
    <w:rsid w:val="00406405"/>
    <w:rsid w:val="00492D0F"/>
    <w:rsid w:val="004A20E8"/>
    <w:rsid w:val="004C5738"/>
    <w:rsid w:val="004D018C"/>
    <w:rsid w:val="00597033"/>
    <w:rsid w:val="005A2E8B"/>
    <w:rsid w:val="005A4772"/>
    <w:rsid w:val="005B1C73"/>
    <w:rsid w:val="00606E15"/>
    <w:rsid w:val="00623266"/>
    <w:rsid w:val="00655227"/>
    <w:rsid w:val="006A0C4B"/>
    <w:rsid w:val="007A4410"/>
    <w:rsid w:val="007F38AB"/>
    <w:rsid w:val="007F3D83"/>
    <w:rsid w:val="008105EA"/>
    <w:rsid w:val="008B3A99"/>
    <w:rsid w:val="008E32F7"/>
    <w:rsid w:val="009233A9"/>
    <w:rsid w:val="00A25816"/>
    <w:rsid w:val="00A808B6"/>
    <w:rsid w:val="00B173F9"/>
    <w:rsid w:val="00B40614"/>
    <w:rsid w:val="00C44B83"/>
    <w:rsid w:val="00CA1513"/>
    <w:rsid w:val="00D1404A"/>
    <w:rsid w:val="00D54551"/>
    <w:rsid w:val="00D637D1"/>
    <w:rsid w:val="00DF0C25"/>
    <w:rsid w:val="00E3449F"/>
    <w:rsid w:val="00E5027E"/>
    <w:rsid w:val="00EA580B"/>
    <w:rsid w:val="00EE1DDC"/>
    <w:rsid w:val="00EE4976"/>
    <w:rsid w:val="00F6314A"/>
    <w:rsid w:val="00FB435F"/>
    <w:rsid w:val="00FC490C"/>
    <w:rsid w:val="00FD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0C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C490C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4">
    <w:name w:val="Heading 4"/>
    <w:basedOn w:val="a"/>
    <w:next w:val="1"/>
    <w:link w:val="4"/>
    <w:uiPriority w:val="99"/>
    <w:qFormat/>
    <w:rsid w:val="00FC490C"/>
    <w:pPr>
      <w:keepNext/>
      <w:keepLines/>
      <w:widowControl w:val="0"/>
      <w:spacing w:before="240" w:after="240" w:line="360" w:lineRule="auto"/>
      <w:jc w:val="center"/>
      <w:outlineLvl w:val="3"/>
    </w:pPr>
    <w:rPr>
      <w:rFonts w:ascii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FC490C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Привязка сноски"/>
    <w:rsid w:val="00FC490C"/>
    <w:rPr>
      <w:rFonts w:cs="Times New Roman"/>
      <w:vertAlign w:val="superscript"/>
    </w:rPr>
  </w:style>
  <w:style w:type="character" w:customStyle="1" w:styleId="a4">
    <w:name w:val="Символ сноски"/>
    <w:qFormat/>
    <w:rsid w:val="00FC490C"/>
  </w:style>
  <w:style w:type="paragraph" w:customStyle="1" w:styleId="Footer">
    <w:name w:val="Footer"/>
    <w:basedOn w:val="1"/>
    <w:uiPriority w:val="99"/>
    <w:rsid w:val="00FC490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FC490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Header">
    <w:name w:val="Header"/>
    <w:basedOn w:val="1"/>
    <w:uiPriority w:val="99"/>
    <w:unhideWhenUsed/>
    <w:rsid w:val="00FC49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Body Text"/>
    <w:basedOn w:val="a"/>
    <w:link w:val="10"/>
    <w:semiHidden/>
    <w:unhideWhenUsed/>
    <w:rsid w:val="00EA580B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sid w:val="00EA580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5"/>
    <w:semiHidden/>
    <w:locked/>
    <w:rsid w:val="00EA580B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7F38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8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en.edu.ru:8100/db/msg/235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maley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95466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studentlibrary.ru/book/ISBN97859704583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2632</Words>
  <Characters>15005</Characters>
  <Application>Microsoft Office Word</Application>
  <DocSecurity>0</DocSecurity>
  <Lines>125</Lines>
  <Paragraphs>35</Paragraphs>
  <ScaleCrop>false</ScaleCrop>
  <Company/>
  <LinksUpToDate>false</LinksUpToDate>
  <CharactersWithSpaces>17602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31</cp:revision>
  <dcterms:created xsi:type="dcterms:W3CDTF">2023-02-14T07:51:00Z</dcterms:created>
  <dcterms:modified xsi:type="dcterms:W3CDTF">2024-03-11T13:09:00Z</dcterms:modified>
</cp:coreProperties>
</file>